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890" w14:textId="3C9BE836" w:rsidR="00BC3595" w:rsidRPr="00D54865" w:rsidRDefault="00736A18" w:rsidP="00D54865">
      <w:pPr>
        <w:jc w:val="center"/>
        <w:rPr>
          <w:b/>
          <w:sz w:val="32"/>
          <w:szCs w:val="32"/>
        </w:rPr>
      </w:pPr>
      <w:r w:rsidRPr="00D54865">
        <w:rPr>
          <w:b/>
          <w:sz w:val="32"/>
          <w:szCs w:val="32"/>
        </w:rPr>
        <w:t>FORMATION 202</w:t>
      </w:r>
      <w:r w:rsidR="0075558D">
        <w:rPr>
          <w:b/>
          <w:sz w:val="32"/>
          <w:szCs w:val="32"/>
        </w:rPr>
        <w:t>3</w:t>
      </w:r>
      <w:r w:rsidRPr="00D54865">
        <w:rPr>
          <w:b/>
          <w:sz w:val="32"/>
          <w:szCs w:val="32"/>
        </w:rPr>
        <w:t> : A</w:t>
      </w:r>
      <w:r w:rsidR="00D87E61" w:rsidRPr="00D54865">
        <w:rPr>
          <w:b/>
          <w:sz w:val="32"/>
          <w:szCs w:val="32"/>
        </w:rPr>
        <w:t>PPRENEZ A CONNAITRE LE MATERIEL DE TENNIS</w:t>
      </w:r>
      <w:r w:rsidR="00E109BF" w:rsidRPr="00D54865">
        <w:rPr>
          <w:b/>
          <w:sz w:val="32"/>
          <w:szCs w:val="32"/>
        </w:rPr>
        <w:t xml:space="preserve"> </w:t>
      </w:r>
      <w:r w:rsidR="00D87E61" w:rsidRPr="00D54865">
        <w:rPr>
          <w:b/>
          <w:sz w:val="32"/>
          <w:szCs w:val="32"/>
        </w:rPr>
        <w:t>ET</w:t>
      </w:r>
      <w:r w:rsidR="00E109BF" w:rsidRPr="00D54865">
        <w:rPr>
          <w:b/>
          <w:sz w:val="32"/>
          <w:szCs w:val="32"/>
        </w:rPr>
        <w:t xml:space="preserve"> </w:t>
      </w:r>
      <w:r w:rsidR="00D87E61" w:rsidRPr="00D54865">
        <w:rPr>
          <w:b/>
          <w:sz w:val="32"/>
          <w:szCs w:val="32"/>
        </w:rPr>
        <w:t>OPTIMISEZ LES PERFORMANCES ET LES PROGRES DE VOS ELEVES</w:t>
      </w:r>
    </w:p>
    <w:p w14:paraId="62F3473B" w14:textId="77777777" w:rsidR="00BC3595" w:rsidRDefault="00BC3595" w:rsidP="00736A18">
      <w:pPr>
        <w:rPr>
          <w:sz w:val="18"/>
          <w:szCs w:val="18"/>
        </w:rPr>
      </w:pPr>
    </w:p>
    <w:p w14:paraId="6FE4FD51" w14:textId="15C95CD4" w:rsidR="00C81CF3" w:rsidRPr="00C81CF3" w:rsidRDefault="00D87E61" w:rsidP="00C81CF3">
      <w:pPr>
        <w:shd w:val="clear" w:color="auto" w:fill="FFFFFF"/>
        <w:ind w:right="44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33333"/>
        </w:rPr>
        <w:t xml:space="preserve">Public : </w:t>
      </w:r>
      <w:r w:rsidR="002E4A51" w:rsidRPr="002E4A51">
        <w:rPr>
          <w:rFonts w:ascii="Century Gothic" w:eastAsia="Century Gothic" w:hAnsi="Century Gothic" w:cs="Century Gothic"/>
          <w:color w:val="333333"/>
          <w:sz w:val="20"/>
          <w:szCs w:val="20"/>
        </w:rPr>
        <w:t>Enseignants de tennis professionnels titulaires des diplômes suivants :</w:t>
      </w:r>
      <w:r w:rsid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Brevets d’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État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d’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Éducateur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Sportif 1er et 2ème degré</w:t>
      </w:r>
      <w:r w:rsidR="00C81CF3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, 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Diplôme d’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État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de la Jeunesse, de l’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Éducation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populaire et du sport - mention Moniteur de tennis</w:t>
      </w:r>
      <w:r w:rsidR="00C81CF3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, 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Diplôme d’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État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Supérieur de la Jeunesse, de l’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Éducation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populaire et du sport - mention Professeur de tennis</w:t>
      </w:r>
      <w:r w:rsidR="00C81CF3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, 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Certificat de Qualification Professionnelle – mention tennis</w:t>
      </w:r>
      <w:r w:rsidR="00C81CF3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, </w:t>
      </w:r>
      <w:r w:rsidR="002E4A51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Licence STAPS - mention entrainemen</w:t>
      </w:r>
      <w:r w:rsidR="00C81CF3">
        <w:rPr>
          <w:rFonts w:ascii="Century Gothic" w:eastAsia="Century Gothic" w:hAnsi="Century Gothic" w:cs="Century Gothic"/>
          <w:color w:val="333333"/>
          <w:sz w:val="20"/>
          <w:szCs w:val="20"/>
        </w:rPr>
        <w:t>t</w:t>
      </w:r>
    </w:p>
    <w:p w14:paraId="77FFE2AE" w14:textId="7486BBF1" w:rsidR="00D54865" w:rsidRPr="00C81CF3" w:rsidRDefault="00D87E61" w:rsidP="00C81CF3">
      <w:pP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C81CF3">
        <w:rPr>
          <w:rFonts w:ascii="Century Gothic" w:eastAsia="Century Gothic" w:hAnsi="Century Gothic" w:cs="Century Gothic"/>
          <w:b/>
          <w:color w:val="333333"/>
        </w:rPr>
        <w:t>Objectif pédagogique :</w:t>
      </w:r>
      <w:r w:rsidRPr="00C81CF3">
        <w:rPr>
          <w:rFonts w:ascii="Century Gothic" w:eastAsia="Century Gothic" w:hAnsi="Century Gothic" w:cs="Century Gothic"/>
          <w:color w:val="333333"/>
        </w:rPr>
        <w:t xml:space="preserve"> </w:t>
      </w:r>
      <w:r w:rsidR="00D54865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C81CF3"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Maitriser les caractéristiques d’une raquette de tennis et de son cordage. Être capable de recommander le bon équipement à ses élèves et de le faire évoluer en fonction des besoins, de la croissance et du niveau de jeu.</w:t>
      </w:r>
      <w:r w:rsidRPr="00C81CF3"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br/>
      </w:r>
      <w:r w:rsidRPr="00C81CF3">
        <w:rPr>
          <w:rFonts w:ascii="Century Gothic" w:eastAsia="Century Gothic" w:hAnsi="Century Gothic" w:cs="Century Gothic"/>
          <w:b/>
          <w:color w:val="333333"/>
        </w:rPr>
        <w:t>Niveau de connaissances préalables requis :</w:t>
      </w:r>
      <w:r w:rsidRPr="00C81CF3">
        <w:rPr>
          <w:rFonts w:ascii="Century Gothic" w:eastAsia="Century Gothic" w:hAnsi="Century Gothic" w:cs="Century Gothic"/>
          <w:color w:val="333333"/>
        </w:rPr>
        <w:t xml:space="preserve"> </w:t>
      </w:r>
      <w:r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t>pas de prérequis</w:t>
      </w:r>
      <w:r w:rsidRPr="00C81CF3">
        <w:rPr>
          <w:rFonts w:ascii="Century Gothic" w:eastAsia="Century Gothic" w:hAnsi="Century Gothic" w:cs="Century Gothic"/>
          <w:color w:val="333333"/>
          <w:sz w:val="20"/>
          <w:szCs w:val="20"/>
        </w:rPr>
        <w:br/>
      </w:r>
      <w:r w:rsidR="00D54865" w:rsidRPr="00C81CF3">
        <w:rPr>
          <w:rFonts w:ascii="Century Gothic" w:eastAsia="Century Gothic" w:hAnsi="Century Gothic" w:cs="Century Gothic"/>
          <w:b/>
          <w:color w:val="333333"/>
        </w:rPr>
        <w:t xml:space="preserve">Durée : </w:t>
      </w:r>
      <w:r w:rsidR="00D54865" w:rsidRPr="00C81CF3">
        <w:rPr>
          <w:rFonts w:ascii="Century Gothic" w:eastAsia="Century Gothic" w:hAnsi="Century Gothic" w:cs="Century Gothic"/>
          <w:bCs/>
          <w:color w:val="333333"/>
        </w:rPr>
        <w:t>7 heures</w:t>
      </w:r>
    </w:p>
    <w:p w14:paraId="2DC3A215" w14:textId="7FEAFB9A" w:rsidR="00005A0B" w:rsidRDefault="00D87E61" w:rsidP="00C81CF3">
      <w:pPr>
        <w:shd w:val="clear" w:color="auto" w:fill="FFFFFF"/>
        <w:ind w:right="44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33333"/>
        </w:rPr>
        <w:t xml:space="preserve">Modalités d'accès : </w:t>
      </w:r>
      <w:r w:rsidR="00D54865">
        <w:rPr>
          <w:rFonts w:ascii="Century Gothic" w:eastAsia="Century Gothic" w:hAnsi="Century Gothic" w:cs="Century Gothic"/>
          <w:color w:val="333333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0 participants maximum.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color w:val="333333"/>
        </w:rPr>
        <w:t xml:space="preserve">Délais d'accès :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l’inscription peut se faire 1 jour avant le début de la session sans subrogation d’</w:t>
      </w:r>
      <w:proofErr w:type="spellStart"/>
      <w:r>
        <w:rPr>
          <w:rFonts w:ascii="Century Gothic" w:eastAsia="Century Gothic" w:hAnsi="Century Gothic" w:cs="Century Gothic"/>
          <w:color w:val="333333"/>
          <w:sz w:val="20"/>
          <w:szCs w:val="20"/>
        </w:rPr>
        <w:t>opco</w:t>
      </w:r>
      <w:proofErr w:type="spellEnd"/>
      <w:r>
        <w:rPr>
          <w:rFonts w:ascii="Century Gothic" w:eastAsia="Century Gothic" w:hAnsi="Century Gothic" w:cs="Century Gothic"/>
          <w:color w:val="333333"/>
          <w:sz w:val="20"/>
          <w:szCs w:val="20"/>
        </w:rPr>
        <w:t>*.</w:t>
      </w:r>
      <w:r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 </w:t>
      </w:r>
      <w:r w:rsidR="00D54865">
        <w:rPr>
          <w:rFonts w:ascii="Century Gothic" w:eastAsia="Century Gothic" w:hAnsi="Century Gothic" w:cs="Century Gothic"/>
          <w:color w:val="333333"/>
          <w:sz w:val="20"/>
          <w:szCs w:val="20"/>
        </w:rPr>
        <w:t>L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a formation démarre à la signature de la convention* et les dates sont convenues en accord avec le client.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br/>
        <w:t>*</w:t>
      </w:r>
      <w:r>
        <w:rPr>
          <w:rFonts w:ascii="Century Gothic" w:eastAsia="Century Gothic" w:hAnsi="Century Gothic" w:cs="Century Gothic"/>
          <w:b/>
          <w:color w:val="333333"/>
          <w:sz w:val="20"/>
          <w:szCs w:val="20"/>
        </w:rPr>
        <w:t xml:space="preserve">Nota :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En cas de subrogation auprès d’un </w:t>
      </w:r>
      <w:proofErr w:type="spellStart"/>
      <w:r>
        <w:rPr>
          <w:rFonts w:ascii="Century Gothic" w:eastAsia="Century Gothic" w:hAnsi="Century Gothic" w:cs="Century Gothic"/>
          <w:color w:val="333333"/>
          <w:sz w:val="20"/>
          <w:szCs w:val="20"/>
        </w:rPr>
        <w:t>Ocpo</w:t>
      </w:r>
      <w:proofErr w:type="spellEnd"/>
      <w:r>
        <w:rPr>
          <w:rFonts w:ascii="Century Gothic" w:eastAsia="Century Gothic" w:hAnsi="Century Gothic" w:cs="Century Gothic"/>
          <w:color w:val="333333"/>
          <w:sz w:val="20"/>
          <w:szCs w:val="20"/>
        </w:rPr>
        <w:t>, un délai supplémentaire sera accordé pour le démarrage de la formation en attendant l’accord de prise en charge.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color w:val="333333"/>
        </w:rPr>
        <w:t xml:space="preserve">Modalité pédagogique :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Formation en présentiel</w:t>
      </w:r>
      <w:r w:rsidR="00D54865" w:rsidRPr="00D54865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(Théorie en salle et mise en pratiques sur le terrain)</w:t>
      </w:r>
      <w:r w:rsidR="00D54865">
        <w:rPr>
          <w:rFonts w:ascii="Century Gothic" w:eastAsia="Century Gothic" w:hAnsi="Century Gothic" w:cs="Century Gothic"/>
          <w:color w:val="333333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color w:val="333333"/>
        </w:rPr>
        <w:t xml:space="preserve">Méthode pédagogique :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Alternance d’approche théorique, d’échanges et d’exercices pratiques</w:t>
      </w:r>
      <w:r w:rsidR="00D54865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(</w:t>
      </w:r>
      <w:r w:rsidR="00D54865" w:rsidRPr="00736A18">
        <w:rPr>
          <w:rFonts w:ascii="Century Gothic" w:eastAsia="Century Gothic" w:hAnsi="Century Gothic" w:cs="Century Gothic"/>
          <w:color w:val="333333"/>
          <w:sz w:val="20"/>
          <w:szCs w:val="20"/>
        </w:rPr>
        <w:t>Cas pratiques avec de jeunes compétiteurs mis à disposition par la Ligue</w:t>
      </w:r>
      <w:r w:rsidR="00D54865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quand c’est possible).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Un support de cours sera remis à chaque participant. </w:t>
      </w:r>
      <w:r w:rsidR="00D54865">
        <w:rPr>
          <w:rFonts w:ascii="Century Gothic" w:eastAsia="Century Gothic" w:hAnsi="Century Gothic" w:cs="Century Gothic"/>
          <w:color w:val="333333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color w:val="333333"/>
        </w:rPr>
        <w:t>Modalités d’évaluations / Attestation des acquis de la formation :</w:t>
      </w:r>
    </w:p>
    <w:p w14:paraId="452DD1FA" w14:textId="4EAF7FF0" w:rsidR="00005A0B" w:rsidRPr="00005A0B" w:rsidRDefault="00005A0B" w:rsidP="00D54865">
      <w:pPr>
        <w:pStyle w:val="Paragraphedeliste"/>
        <w:numPr>
          <w:ilvl w:val="0"/>
          <w:numId w:val="3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005A0B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Évaluation par questionnaire par rapport aux principales données à savoir</w:t>
      </w:r>
    </w:p>
    <w:p w14:paraId="09DD2F34" w14:textId="56ECE4BA" w:rsidR="00005A0B" w:rsidRPr="00005A0B" w:rsidRDefault="00005A0B" w:rsidP="00D54865">
      <w:pPr>
        <w:pStyle w:val="Paragraphedeliste"/>
        <w:numPr>
          <w:ilvl w:val="0"/>
          <w:numId w:val="3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005A0B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Évaluation à chaud sur le niveau de satisfaction par questionnaire</w:t>
      </w:r>
    </w:p>
    <w:p w14:paraId="05688708" w14:textId="478AE5F8" w:rsidR="00005A0B" w:rsidRPr="00005A0B" w:rsidRDefault="00005A0B" w:rsidP="00D54865">
      <w:pPr>
        <w:pStyle w:val="Paragraphedeliste"/>
        <w:numPr>
          <w:ilvl w:val="0"/>
          <w:numId w:val="3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005A0B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Évaluation à froid pour les entreprises/financeurs</w:t>
      </w:r>
    </w:p>
    <w:p w14:paraId="1721F60E" w14:textId="77777777" w:rsidR="004D4378" w:rsidRDefault="00005A0B" w:rsidP="004D4378">
      <w:pPr>
        <w:pStyle w:val="Paragraphedeliste"/>
        <w:numPr>
          <w:ilvl w:val="0"/>
          <w:numId w:val="3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005A0B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Suivi individualisé à posteriori.</w:t>
      </w:r>
    </w:p>
    <w:p w14:paraId="08C1D74F" w14:textId="457AE7F8" w:rsidR="00736A18" w:rsidRPr="004D4378" w:rsidRDefault="00D87E61" w:rsidP="004D4378">
      <w:pPr>
        <w:rPr>
          <w:rFonts w:ascii="Century Gothic" w:eastAsia="Century Gothic" w:hAnsi="Century Gothic" w:cs="Century Gothic"/>
          <w:color w:val="333333"/>
          <w:sz w:val="20"/>
          <w:szCs w:val="20"/>
        </w:rPr>
      </w:pPr>
      <w:r w:rsidRPr="004D4378">
        <w:rPr>
          <w:rFonts w:ascii="Century Gothic" w:eastAsia="Century Gothic" w:hAnsi="Century Gothic" w:cs="Century Gothic"/>
          <w:b/>
          <w:color w:val="333333"/>
        </w:rPr>
        <w:t>Accessibilité aux personnes handicapées :</w:t>
      </w:r>
      <w:r w:rsidRPr="004D4378">
        <w:rPr>
          <w:rFonts w:ascii="Century Gothic" w:eastAsia="Century Gothic" w:hAnsi="Century Gothic" w:cs="Century Gothic"/>
          <w:color w:val="333333"/>
        </w:rPr>
        <w:t xml:space="preserve"> </w:t>
      </w:r>
      <w:r w:rsidR="00C81CF3" w:rsidRPr="004D4378">
        <w:rPr>
          <w:rFonts w:ascii="Century Gothic" w:eastAsia="Century Gothic" w:hAnsi="Century Gothic" w:cs="Century Gothic"/>
          <w:color w:val="333333"/>
          <w:sz w:val="20"/>
          <w:szCs w:val="20"/>
        </w:rPr>
        <w:t>En fonction du handicap du stagiaire, nous étudierons les éventuels aménagements spécifiques qui pourraient être étudiés en collaboration avec le stagiaire (outils, rythmes ou modalités particulières adaptées au handicap exprimé)</w:t>
      </w:r>
      <w:r w:rsidRPr="004D4378">
        <w:rPr>
          <w:rFonts w:ascii="Century Gothic" w:eastAsia="Century Gothic" w:hAnsi="Century Gothic" w:cs="Century Gothic"/>
          <w:color w:val="333333"/>
        </w:rPr>
        <w:br/>
      </w:r>
      <w:r w:rsidRPr="004D4378">
        <w:rPr>
          <w:rFonts w:ascii="Century Gothic" w:eastAsia="Century Gothic" w:hAnsi="Century Gothic" w:cs="Century Gothic"/>
          <w:b/>
          <w:color w:val="333333"/>
        </w:rPr>
        <w:t>Contact :</w:t>
      </w:r>
      <w:r w:rsidRPr="004D4378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</w:t>
      </w:r>
      <w:r w:rsidR="002E4A51">
        <w:t xml:space="preserve"> </w:t>
      </w:r>
      <w:r w:rsidR="00D54865" w:rsidRPr="004D4378"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Guillaume DUCRUET – </w:t>
      </w:r>
      <w:hyperlink r:id="rId8" w:history="1">
        <w:r w:rsidR="00D54865" w:rsidRPr="004D4378">
          <w:rPr>
            <w:rFonts w:ascii="Century Gothic" w:eastAsia="Century Gothic" w:hAnsi="Century Gothic" w:cs="Century Gothic"/>
            <w:color w:val="333333"/>
            <w:sz w:val="20"/>
            <w:szCs w:val="20"/>
          </w:rPr>
          <w:t>gducruet@inbetweensports.com</w:t>
        </w:r>
      </w:hyperlink>
      <w:r w:rsidRPr="004D4378">
        <w:rPr>
          <w:rFonts w:ascii="Century Gothic" w:eastAsia="Century Gothic" w:hAnsi="Century Gothic" w:cs="Century Gothic"/>
          <w:color w:val="333333"/>
        </w:rPr>
        <w:br/>
      </w:r>
      <w:r w:rsidRPr="004D4378">
        <w:rPr>
          <w:rFonts w:ascii="Century Gothic" w:eastAsia="Century Gothic" w:hAnsi="Century Gothic" w:cs="Century Gothic"/>
          <w:b/>
          <w:color w:val="333333"/>
        </w:rPr>
        <w:t>Tarif Inter :</w:t>
      </w:r>
      <w:r w:rsidRPr="004D4378">
        <w:rPr>
          <w:rFonts w:ascii="Century Gothic" w:eastAsia="Century Gothic" w:hAnsi="Century Gothic" w:cs="Century Gothic"/>
          <w:color w:val="333333"/>
        </w:rPr>
        <w:t xml:space="preserve"> </w:t>
      </w:r>
      <w:r w:rsidR="002E4A51" w:rsidRPr="004D4378">
        <w:rPr>
          <w:rFonts w:ascii="Century Gothic" w:eastAsia="Century Gothic" w:hAnsi="Century Gothic" w:cs="Century Gothic"/>
          <w:color w:val="333333"/>
          <w:sz w:val="20"/>
          <w:szCs w:val="20"/>
        </w:rPr>
        <w:t>nous consulter</w:t>
      </w:r>
    </w:p>
    <w:p w14:paraId="51C5B3B5" w14:textId="77777777" w:rsidR="004D4378" w:rsidRDefault="004D4378" w:rsidP="004D4378">
      <w:pPr>
        <w:shd w:val="clear" w:color="auto" w:fill="FFFFFF"/>
        <w:ind w:right="45"/>
        <w:rPr>
          <w:rFonts w:ascii="Century Gothic" w:eastAsia="Century Gothic" w:hAnsi="Century Gothic" w:cs="Century Gothic"/>
          <w:b/>
          <w:color w:val="333333"/>
        </w:rPr>
      </w:pPr>
    </w:p>
    <w:p w14:paraId="35027D32" w14:textId="4323DC42" w:rsidR="00C81CF3" w:rsidRDefault="00736A18" w:rsidP="004D4378">
      <w:pPr>
        <w:shd w:val="clear" w:color="auto" w:fill="FFFFFF"/>
        <w:ind w:right="45"/>
        <w:rPr>
          <w:rFonts w:ascii="Century Gothic" w:eastAsia="Century Gothic" w:hAnsi="Century Gothic" w:cs="Century Gothic"/>
          <w:b/>
          <w:color w:val="333333"/>
        </w:rPr>
      </w:pPr>
      <w:r w:rsidRPr="00736A18">
        <w:rPr>
          <w:rFonts w:ascii="Century Gothic" w:eastAsia="Century Gothic" w:hAnsi="Century Gothic" w:cs="Century Gothic"/>
          <w:b/>
          <w:color w:val="333333"/>
        </w:rPr>
        <w:t xml:space="preserve">Programme : </w:t>
      </w:r>
    </w:p>
    <w:p w14:paraId="224F6837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Comprendre les matériaux et la technologie.</w:t>
      </w:r>
    </w:p>
    <w:p w14:paraId="5B5DBFE6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Connaitre les éléments constitutifs des raquettes et des cordages.</w:t>
      </w:r>
    </w:p>
    <w:p w14:paraId="3697C40E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Comprendre l’impact des éléments constitutifs des raquettes et des cordages dans l’évolution du jeu.</w:t>
      </w:r>
    </w:p>
    <w:p w14:paraId="77491D55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Connaitre les incidences des caractéristiques techniques des raquettes et des cordages dans la performance.</w:t>
      </w:r>
    </w:p>
    <w:p w14:paraId="4AF73453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Savoir associer le matériel avec le style de jeu, l’âge, la corpulence et l’évolution du joueur.</w:t>
      </w:r>
    </w:p>
    <w:p w14:paraId="089F241B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Comment utiliser le matériel pour optimiser les spécificités biomécaniques, physiologiques et psychologiques des joueurs.</w:t>
      </w:r>
    </w:p>
    <w:p w14:paraId="5C38CC04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Rôle de la customisation.</w:t>
      </w:r>
    </w:p>
    <w:p w14:paraId="09F795BD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Comment définir une customisation performante.</w:t>
      </w:r>
    </w:p>
    <w:p w14:paraId="7A3836CB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Être capable d’associer l’équipement dans l’acquisition des éducatifs ou dans les correctifs.</w:t>
      </w:r>
    </w:p>
    <w:p w14:paraId="599B005B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Optimisation du couple raquette/cordage.</w:t>
      </w:r>
    </w:p>
    <w:p w14:paraId="2A699194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Comprendre les enjeux et les caractéristiques des raquettes junior.</w:t>
      </w:r>
    </w:p>
    <w:p w14:paraId="2F02B189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Savoir organiser efficacement la transition raquette junior-raquette adulte.</w:t>
      </w:r>
    </w:p>
    <w:p w14:paraId="15619549" w14:textId="77777777" w:rsidR="00C81CF3" w:rsidRPr="00C81CF3" w:rsidRDefault="00C81CF3" w:rsidP="00C81CF3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</w:pPr>
      <w:r w:rsidRPr="00C81CF3">
        <w:rPr>
          <w:rFonts w:ascii="Century Gothic" w:eastAsia="Century Gothic" w:hAnsi="Century Gothic" w:cs="Century Gothic"/>
          <w:color w:val="333333"/>
          <w:sz w:val="20"/>
          <w:szCs w:val="20"/>
          <w:lang w:eastAsia="en-GB"/>
        </w:rPr>
        <w:t>Les tendances actuelles à haut niveau.</w:t>
      </w:r>
    </w:p>
    <w:p w14:paraId="7BE1D904" w14:textId="77777777" w:rsidR="00C81CF3" w:rsidRPr="00736A18" w:rsidRDefault="00C81CF3" w:rsidP="00C81CF3">
      <w:pPr>
        <w:shd w:val="clear" w:color="auto" w:fill="FFFFFF"/>
        <w:ind w:left="142" w:right="45"/>
        <w:rPr>
          <w:rFonts w:ascii="Century Gothic" w:eastAsia="Century Gothic" w:hAnsi="Century Gothic" w:cs="Century Gothic"/>
          <w:b/>
          <w:bCs/>
          <w:color w:val="333333"/>
        </w:rPr>
      </w:pPr>
    </w:p>
    <w:p w14:paraId="447CD2CA" w14:textId="11F31544" w:rsidR="00005A0B" w:rsidRPr="00736A18" w:rsidRDefault="00005A0B" w:rsidP="00C81CF3">
      <w:pPr>
        <w:shd w:val="clear" w:color="auto" w:fill="FFFFFF"/>
        <w:ind w:right="45"/>
        <w:rPr>
          <w:rFonts w:ascii="Century Gothic" w:eastAsia="Century Gothic" w:hAnsi="Century Gothic" w:cs="Century Gothic"/>
          <w:b/>
          <w:bCs/>
          <w:color w:val="333333"/>
        </w:rPr>
      </w:pPr>
    </w:p>
    <w:sectPr w:rsidR="00005A0B" w:rsidRPr="00736A18" w:rsidSect="00C81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154" w:footer="3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BF70" w14:textId="77777777" w:rsidR="00D87E61" w:rsidRDefault="00D87E61">
      <w:r>
        <w:separator/>
      </w:r>
    </w:p>
  </w:endnote>
  <w:endnote w:type="continuationSeparator" w:id="0">
    <w:p w14:paraId="18E9E3ED" w14:textId="77777777" w:rsidR="00D87E61" w:rsidRDefault="00D8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3A17" w14:textId="77777777" w:rsidR="0075558D" w:rsidRDefault="007555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4656" w14:textId="779118ED" w:rsidR="00E109BF" w:rsidRPr="00E109BF" w:rsidRDefault="00E109BF" w:rsidP="00E109BF">
    <w:pPr>
      <w:pStyle w:val="Pieddepage"/>
      <w:jc w:val="center"/>
      <w:rPr>
        <w:rFonts w:ascii="Century Gothic" w:hAnsi="Century Gothic"/>
        <w:b/>
        <w:bCs/>
        <w:sz w:val="20"/>
        <w:szCs w:val="20"/>
      </w:rPr>
    </w:pPr>
    <w:r w:rsidRPr="00E109BF">
      <w:rPr>
        <w:rFonts w:ascii="Century Gothic" w:hAnsi="Century Gothic"/>
        <w:b/>
        <w:bCs/>
        <w:sz w:val="20"/>
        <w:szCs w:val="20"/>
      </w:rPr>
      <w:t>IN BETWEEN SAS</w:t>
    </w:r>
  </w:p>
  <w:p w14:paraId="5537119B" w14:textId="77777777" w:rsidR="00E109BF" w:rsidRPr="00E109BF" w:rsidRDefault="00E109BF" w:rsidP="00E109BF">
    <w:pPr>
      <w:pStyle w:val="Pieddepage"/>
      <w:jc w:val="center"/>
      <w:rPr>
        <w:rFonts w:ascii="Century Gothic" w:hAnsi="Century Gothic"/>
        <w:sz w:val="20"/>
        <w:szCs w:val="20"/>
      </w:rPr>
    </w:pPr>
    <w:r w:rsidRPr="00E109BF">
      <w:rPr>
        <w:rFonts w:ascii="Century Gothic" w:hAnsi="Century Gothic"/>
        <w:sz w:val="20"/>
        <w:szCs w:val="20"/>
      </w:rPr>
      <w:t xml:space="preserve">14 rue des carrières, 69360 </w:t>
    </w:r>
    <w:proofErr w:type="spellStart"/>
    <w:r w:rsidRPr="00E109BF">
      <w:rPr>
        <w:rFonts w:ascii="Century Gothic" w:hAnsi="Century Gothic"/>
        <w:sz w:val="20"/>
        <w:szCs w:val="20"/>
      </w:rPr>
      <w:t>Sérézin</w:t>
    </w:r>
    <w:proofErr w:type="spellEnd"/>
    <w:r w:rsidRPr="00E109BF">
      <w:rPr>
        <w:rFonts w:ascii="Century Gothic" w:hAnsi="Century Gothic"/>
        <w:sz w:val="20"/>
        <w:szCs w:val="20"/>
      </w:rPr>
      <w:t xml:space="preserve"> du Rhône - SIRET : 888 912 540 00018</w:t>
    </w:r>
  </w:p>
  <w:p w14:paraId="11454947" w14:textId="2957B853" w:rsidR="00E109BF" w:rsidRPr="00E109BF" w:rsidRDefault="00E109BF" w:rsidP="00E109BF">
    <w:pPr>
      <w:pStyle w:val="Pieddepage"/>
      <w:ind w:left="-567" w:right="-710"/>
      <w:jc w:val="center"/>
      <w:rPr>
        <w:rFonts w:ascii="Century Gothic" w:hAnsi="Century Gothic"/>
        <w:sz w:val="20"/>
        <w:szCs w:val="20"/>
      </w:rPr>
    </w:pPr>
    <w:r w:rsidRPr="00E109BF">
      <w:rPr>
        <w:rFonts w:ascii="Century Gothic" w:hAnsi="Century Gothic"/>
        <w:sz w:val="20"/>
        <w:szCs w:val="20"/>
      </w:rPr>
      <w:t xml:space="preserve">Déclaration enregistrée sous le n° 84691901669 auprès du Préfet de la région Auvergne-Rhône-Alpes </w:t>
    </w:r>
    <w:r>
      <w:rPr>
        <w:rFonts w:ascii="Century Gothic" w:hAnsi="Century Gothic"/>
        <w:sz w:val="20"/>
        <w:szCs w:val="20"/>
      </w:rPr>
      <w:br/>
    </w:r>
    <w:r w:rsidRPr="00E109BF">
      <w:rPr>
        <w:rFonts w:ascii="Century Gothic" w:hAnsi="Century Gothic"/>
        <w:sz w:val="20"/>
        <w:szCs w:val="20"/>
      </w:rPr>
      <w:t>Janvier 202</w:t>
    </w:r>
    <w:r w:rsidR="0075558D">
      <w:rPr>
        <w:rFonts w:ascii="Century Gothic" w:hAnsi="Century Gothic"/>
        <w:sz w:val="20"/>
        <w:szCs w:val="20"/>
      </w:rPr>
      <w:t>3</w:t>
    </w:r>
    <w:r w:rsidRPr="00E109BF">
      <w:rPr>
        <w:rFonts w:ascii="Century Gothic" w:hAnsi="Century Gothic"/>
        <w:sz w:val="20"/>
        <w:szCs w:val="20"/>
      </w:rPr>
      <w:t xml:space="preserve"> </w:t>
    </w:r>
    <w:r w:rsidR="0075558D">
      <w:rPr>
        <w:rFonts w:ascii="Century Gothic" w:hAnsi="Century Gothic"/>
        <w:sz w:val="20"/>
        <w:szCs w:val="20"/>
      </w:rPr>
      <w:t>–</w:t>
    </w:r>
    <w:r w:rsidRPr="00E109BF">
      <w:rPr>
        <w:rFonts w:ascii="Century Gothic" w:hAnsi="Century Gothic"/>
        <w:sz w:val="20"/>
        <w:szCs w:val="20"/>
      </w:rPr>
      <w:t xml:space="preserve"> V</w:t>
    </w:r>
    <w:r w:rsidR="0075558D">
      <w:rPr>
        <w:rFonts w:ascii="Century Gothic" w:hAnsi="Century Gothic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8300" w14:textId="77777777" w:rsidR="0075558D" w:rsidRDefault="007555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C467" w14:textId="77777777" w:rsidR="00D87E61" w:rsidRDefault="00D87E61">
      <w:r>
        <w:separator/>
      </w:r>
    </w:p>
  </w:footnote>
  <w:footnote w:type="continuationSeparator" w:id="0">
    <w:p w14:paraId="2786C67C" w14:textId="77777777" w:rsidR="00D87E61" w:rsidRDefault="00D8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FBFF" w14:textId="77777777" w:rsidR="0075558D" w:rsidRDefault="007555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9F9C" w14:textId="03D0766A" w:rsidR="00BC3595" w:rsidRDefault="00E109BF" w:rsidP="00E109BF">
    <w:r w:rsidRPr="00E109BF">
      <w:rPr>
        <w:noProof/>
      </w:rPr>
      <w:drawing>
        <wp:inline distT="0" distB="0" distL="0" distR="0" wp14:anchorId="6F5B7C73" wp14:editId="592D4368">
          <wp:extent cx="1181100" cy="738188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257" cy="74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B5C" w14:textId="77777777" w:rsidR="0075558D" w:rsidRDefault="007555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6F93"/>
    <w:multiLevelType w:val="hybridMultilevel"/>
    <w:tmpl w:val="060C3CC4"/>
    <w:lvl w:ilvl="0" w:tplc="03985E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7D5"/>
    <w:multiLevelType w:val="hybridMultilevel"/>
    <w:tmpl w:val="24265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D3508"/>
    <w:multiLevelType w:val="hybridMultilevel"/>
    <w:tmpl w:val="29BEAB4A"/>
    <w:lvl w:ilvl="0" w:tplc="AB28C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9454">
    <w:abstractNumId w:val="2"/>
  </w:num>
  <w:num w:numId="2" w16cid:durableId="2080398200">
    <w:abstractNumId w:val="1"/>
  </w:num>
  <w:num w:numId="3" w16cid:durableId="4648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95"/>
    <w:rsid w:val="00005A0B"/>
    <w:rsid w:val="002E4A51"/>
    <w:rsid w:val="00370B0B"/>
    <w:rsid w:val="004D4378"/>
    <w:rsid w:val="00736A18"/>
    <w:rsid w:val="0075558D"/>
    <w:rsid w:val="00BC3595"/>
    <w:rsid w:val="00C81CF3"/>
    <w:rsid w:val="00D54865"/>
    <w:rsid w:val="00D87E61"/>
    <w:rsid w:val="00E109BF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3C0D"/>
  <w15:docId w15:val="{12DB94AC-C5C6-BD45-BED8-68E2E6B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82"/>
    <w:rPr>
      <w:lang w:eastAsia="en-GB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720782"/>
    <w:pPr>
      <w:ind w:left="720"/>
    </w:pPr>
    <w:rPr>
      <w:lang w:eastAsia="en-US"/>
    </w:rPr>
  </w:style>
  <w:style w:type="character" w:styleId="lev">
    <w:name w:val="Strong"/>
    <w:basedOn w:val="Policepardfaut"/>
    <w:uiPriority w:val="22"/>
    <w:qFormat/>
    <w:rsid w:val="00CB5C39"/>
    <w:rPr>
      <w:b/>
      <w:bCs/>
    </w:rPr>
  </w:style>
  <w:style w:type="character" w:styleId="Lienhypertexte">
    <w:name w:val="Hyperlink"/>
    <w:basedOn w:val="Policepardfaut"/>
    <w:uiPriority w:val="99"/>
    <w:unhideWhenUsed/>
    <w:rsid w:val="00DE41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4117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10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09BF"/>
    <w:rPr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E10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9BF"/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6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73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cruet@inbetweensport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nI/4UEMxBnej78nCH749Wz26A==">AMUW2mWBhurjEMj26OTP10UGfOduO3tOW47oahOHCfgpiEm2EHXVWclvMhI8Owgkeoi9T2NtQ1L0s7md/9IPNcVRABNa/4HYjc29PhKcGTDUHRle1+gzrdA=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DUCRUET</dc:creator>
  <cp:lastModifiedBy>Guillaume DUCRUET</cp:lastModifiedBy>
  <cp:revision>2</cp:revision>
  <dcterms:created xsi:type="dcterms:W3CDTF">2023-11-15T12:42:00Z</dcterms:created>
  <dcterms:modified xsi:type="dcterms:W3CDTF">2023-11-15T12:42:00Z</dcterms:modified>
</cp:coreProperties>
</file>